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A" w:rsidRPr="00A1776A" w:rsidRDefault="00A1776A" w:rsidP="00A1776A">
      <w:pPr>
        <w:rPr>
          <w:b/>
          <w:bCs/>
        </w:rPr>
      </w:pPr>
      <w:r w:rsidRPr="00A1776A">
        <w:rPr>
          <w:b/>
          <w:bCs/>
        </w:rPr>
        <w:t>The 21st century pedagogy teachers should be aware of</w:t>
      </w:r>
    </w:p>
    <w:p w:rsidR="00A1776A" w:rsidRPr="00A1776A" w:rsidRDefault="00A1776A" w:rsidP="00A1776A">
      <w:r w:rsidRPr="00A1776A">
        <w:t xml:space="preserve">4:11 PM </w:t>
      </w:r>
      <w:hyperlink r:id="rId6" w:history="1">
        <w:r w:rsidRPr="00A1776A">
          <w:rPr>
            <w:rStyle w:val="Hyperlink"/>
          </w:rPr>
          <w:t>21st century teaching skills</w:t>
        </w:r>
      </w:hyperlink>
      <w:r w:rsidRPr="00A1776A">
        <w:t xml:space="preserve">, </w:t>
      </w:r>
      <w:hyperlink r:id="rId7" w:history="1">
        <w:r w:rsidRPr="00A1776A">
          <w:rPr>
            <w:rStyle w:val="Hyperlink"/>
          </w:rPr>
          <w:t>educational technology</w:t>
        </w:r>
      </w:hyperlink>
      <w:r w:rsidRPr="00A1776A">
        <w:t xml:space="preserve"> </w:t>
      </w:r>
      <w:hyperlink r:id="rId8" w:anchor="comments" w:history="1">
        <w:r w:rsidRPr="00A1776A">
          <w:rPr>
            <w:rStyle w:val="Hyperlink"/>
          </w:rPr>
          <w:t xml:space="preserve">7 comments </w:t>
        </w:r>
      </w:hyperlink>
      <w:r w:rsidRPr="00A1776A">
        <w:t xml:space="preserve">Med </w:t>
      </w:r>
    </w:p>
    <w:p w:rsidR="00A1776A" w:rsidRPr="00A1776A" w:rsidRDefault="00A1776A" w:rsidP="00A1776A">
      <w:r w:rsidRPr="00A1776A">
        <w:t xml:space="preserve">Interpersonal </w:t>
      </w:r>
      <w:proofErr w:type="gramStart"/>
      <w:r w:rsidRPr="00A1776A">
        <w:t>learning ,</w:t>
      </w:r>
      <w:proofErr w:type="gramEnd"/>
      <w:r w:rsidRPr="00A1776A">
        <w:t xml:space="preserve"> personalized learning, second life learning , 3d learning, collaborative learning and virtual learning , these are just some of the few buzz words you would be hearing so often in today’s educational literature. Things have </w:t>
      </w:r>
      <w:proofErr w:type="gramStart"/>
      <w:r w:rsidRPr="00A1776A">
        <w:t>changed ,</w:t>
      </w:r>
      <w:proofErr w:type="gramEnd"/>
      <w:r w:rsidRPr="00A1776A">
        <w:t xml:space="preserve"> old methods and </w:t>
      </w:r>
      <w:r w:rsidRPr="00A1776A">
        <w:rPr>
          <w:b/>
          <w:bCs/>
        </w:rPr>
        <w:t xml:space="preserve">pedagogies </w:t>
      </w:r>
      <w:r w:rsidRPr="00A1776A">
        <w:t xml:space="preserve">are no longer relevant. The </w:t>
      </w:r>
      <w:r w:rsidRPr="00A1776A">
        <w:rPr>
          <w:b/>
          <w:bCs/>
        </w:rPr>
        <w:t>teacher</w:t>
      </w:r>
      <w:r w:rsidRPr="00A1776A">
        <w:t xml:space="preserve">-controlled </w:t>
      </w:r>
      <w:r w:rsidRPr="00A1776A">
        <w:rPr>
          <w:b/>
          <w:bCs/>
        </w:rPr>
        <w:t>learning</w:t>
      </w:r>
      <w:r w:rsidRPr="00A1776A">
        <w:t xml:space="preserve"> where deconstructed and reconstructed information is presented </w:t>
      </w:r>
      <w:proofErr w:type="gramStart"/>
      <w:r w:rsidRPr="00A1776A">
        <w:t>in a highly formal and standardized classroom settings</w:t>
      </w:r>
      <w:proofErr w:type="gramEnd"/>
      <w:r w:rsidRPr="00A1776A">
        <w:t xml:space="preserve"> becomes very obsolete. The urgent questions we </w:t>
      </w:r>
      <w:proofErr w:type="gramStart"/>
      <w:r w:rsidRPr="00A1776A">
        <w:t>should ,</w:t>
      </w:r>
      <w:proofErr w:type="gramEnd"/>
      <w:r w:rsidRPr="00A1776A">
        <w:t xml:space="preserve"> as educators , ask ourselves are : what is it that made this huge transformation in learning ? </w:t>
      </w:r>
      <w:proofErr w:type="gramStart"/>
      <w:r w:rsidRPr="00A1776A">
        <w:t>and</w:t>
      </w:r>
      <w:proofErr w:type="gramEnd"/>
      <w:r w:rsidRPr="00A1776A">
        <w:t xml:space="preserve"> Do we need a new pedagogy to better enhance learning ?</w:t>
      </w:r>
      <w:r w:rsidRPr="00A1776A">
        <w:br/>
      </w:r>
      <w:r w:rsidRPr="00A1776A">
        <w:drawing>
          <wp:inline distT="0" distB="0" distL="0" distR="0">
            <wp:extent cx="4638675" cy="2343150"/>
            <wp:effectExtent l="0" t="0" r="9525" b="0"/>
            <wp:docPr id="4" name="Picture 4" descr="21st century pedagogy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st century pedagogy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6A">
        <w:br/>
        <w:t xml:space="preserve">Globalization, the information </w:t>
      </w:r>
      <w:proofErr w:type="gramStart"/>
      <w:r w:rsidRPr="00A1776A">
        <w:t>age ,</w:t>
      </w:r>
      <w:proofErr w:type="gramEnd"/>
      <w:r w:rsidRPr="00A1776A">
        <w:t xml:space="preserve"> and the knowledge era are the key terms you need to ponder about . Advancements in</w:t>
      </w:r>
      <w:r w:rsidRPr="00A1776A">
        <w:rPr>
          <w:b/>
          <w:bCs/>
        </w:rPr>
        <w:t xml:space="preserve"> technology</w:t>
      </w:r>
      <w:r w:rsidRPr="00A1776A">
        <w:t xml:space="preserve"> and particularly </w:t>
      </w:r>
      <w:r w:rsidRPr="00A1776A">
        <w:rPr>
          <w:b/>
          <w:bCs/>
        </w:rPr>
        <w:t>social networking technologies</w:t>
      </w:r>
      <w:r w:rsidRPr="00A1776A">
        <w:t xml:space="preserve"> are changing the whole educational </w:t>
      </w:r>
      <w:proofErr w:type="gramStart"/>
      <w:r w:rsidRPr="00A1776A">
        <w:t>framework .</w:t>
      </w:r>
      <w:proofErr w:type="gramEnd"/>
      <w:r w:rsidRPr="00A1776A">
        <w:t xml:space="preserve"> Users now can have access to information whenever and </w:t>
      </w:r>
      <w:proofErr w:type="gramStart"/>
      <w:r w:rsidRPr="00A1776A">
        <w:t>wherever .</w:t>
      </w:r>
      <w:proofErr w:type="gramEnd"/>
      <w:r w:rsidRPr="00A1776A">
        <w:t xml:space="preserve"> </w:t>
      </w:r>
      <w:proofErr w:type="gramStart"/>
      <w:r w:rsidRPr="00A1776A">
        <w:t>Blogs ,</w:t>
      </w:r>
      <w:proofErr w:type="gramEnd"/>
      <w:r w:rsidRPr="00A1776A">
        <w:t xml:space="preserve"> wikis, socializing sites, podcasts, networks are more and more democratizing knowledge and creating huge impacts on the process of schooling.</w:t>
      </w:r>
      <w:r w:rsidRPr="00A1776A">
        <w:br/>
        <w:t>It is evident now that the fact that the 20th and 21</w:t>
      </w:r>
      <w:r w:rsidRPr="00A1776A">
        <w:rPr>
          <w:vertAlign w:val="superscript"/>
        </w:rPr>
        <w:t>st</w:t>
      </w:r>
      <w:r w:rsidRPr="00A1776A">
        <w:t xml:space="preserve"> century </w:t>
      </w:r>
      <w:r w:rsidRPr="00A1776A">
        <w:rPr>
          <w:b/>
          <w:bCs/>
        </w:rPr>
        <w:t xml:space="preserve">learning </w:t>
      </w:r>
      <w:r w:rsidRPr="00A1776A">
        <w:t xml:space="preserve">is different in terms of </w:t>
      </w:r>
      <w:r w:rsidRPr="00A1776A">
        <w:rPr>
          <w:b/>
          <w:bCs/>
        </w:rPr>
        <w:t xml:space="preserve">skills </w:t>
      </w:r>
      <w:r w:rsidRPr="00A1776A">
        <w:t xml:space="preserve">and perceptions, the need for a new educational model , a serious rethinking of the nature of schooling , its goals, </w:t>
      </w:r>
      <w:r w:rsidRPr="00A1776A">
        <w:rPr>
          <w:b/>
          <w:bCs/>
        </w:rPr>
        <w:t>pedagogies</w:t>
      </w:r>
      <w:r w:rsidRPr="00A1776A">
        <w:t>, curriculum , structures,</w:t>
      </w:r>
      <w:r>
        <w:t xml:space="preserve"> </w:t>
      </w:r>
      <w:bookmarkStart w:id="0" w:name="_GoBack"/>
      <w:bookmarkEnd w:id="0"/>
      <w:r w:rsidRPr="00A1776A">
        <w:t xml:space="preserve">and assumptions is persistently urgent. In brief, </w:t>
      </w:r>
      <w:proofErr w:type="gramStart"/>
      <w:r w:rsidRPr="00A1776A">
        <w:t>We</w:t>
      </w:r>
      <w:proofErr w:type="gramEnd"/>
      <w:r w:rsidRPr="00A1776A">
        <w:t xml:space="preserve"> need a new </w:t>
      </w:r>
      <w:r w:rsidRPr="00A1776A">
        <w:rPr>
          <w:b/>
          <w:bCs/>
        </w:rPr>
        <w:t>pedagogy</w:t>
      </w:r>
      <w:r w:rsidRPr="00A1776A">
        <w:t xml:space="preserve"> with specific features that would meet the new century expectations.</w:t>
      </w:r>
      <w:r w:rsidRPr="00A1776A">
        <w:br/>
        <w:t xml:space="preserve">If you want to learn more about teacher’s skills in the 21st century then read  </w:t>
      </w:r>
      <w:hyperlink r:id="rId11" w:tgtFrame="_blank" w:history="1">
        <w:r w:rsidRPr="00A1776A">
          <w:rPr>
            <w:rStyle w:val="Hyperlink"/>
          </w:rPr>
          <w:t>the 21st century skills teachers should have</w:t>
        </w:r>
      </w:hyperlink>
      <w:r w:rsidRPr="00A1776A">
        <w:br/>
        <w:t>Watch this short video to see how different the 20</w:t>
      </w:r>
      <w:r w:rsidRPr="00A1776A">
        <w:rPr>
          <w:vertAlign w:val="superscript"/>
        </w:rPr>
        <w:t>th</w:t>
      </w:r>
      <w:r w:rsidRPr="00A1776A">
        <w:t xml:space="preserve"> century teacher from the 21</w:t>
      </w:r>
      <w:r w:rsidRPr="00A1776A">
        <w:rPr>
          <w:vertAlign w:val="superscript"/>
        </w:rPr>
        <w:t>st</w:t>
      </w:r>
      <w:r w:rsidRPr="00A1776A">
        <w:t xml:space="preserve"> century one</w:t>
      </w:r>
    </w:p>
    <w:p w:rsidR="00A1776A" w:rsidRPr="00A1776A" w:rsidRDefault="00A1776A" w:rsidP="00A1776A">
      <w:r w:rsidRPr="00A1776A">
        <w:t>20th century and 21st century teachers</w:t>
      </w:r>
    </w:p>
    <w:p w:rsidR="00A1776A" w:rsidRPr="00A1776A" w:rsidRDefault="00A1776A" w:rsidP="00A1776A">
      <w:r w:rsidRPr="00A1776A">
        <w:t xml:space="preserve">In their ALCE international conference that was held in </w:t>
      </w:r>
      <w:proofErr w:type="gramStart"/>
      <w:r w:rsidRPr="00A1776A">
        <w:t>Sydney ,</w:t>
      </w:r>
      <w:proofErr w:type="gramEnd"/>
      <w:r w:rsidRPr="00A1776A">
        <w:t xml:space="preserve"> participants insisted that ”in the 21</w:t>
      </w:r>
      <w:r w:rsidRPr="00A1776A">
        <w:rPr>
          <w:vertAlign w:val="superscript"/>
        </w:rPr>
        <w:t>st</w:t>
      </w:r>
      <w:r w:rsidRPr="00A1776A">
        <w:t xml:space="preserve"> century pedagogy , the schooling experience must be relevant to the life each student chooses to pursue and the skills required to live in today’s world.</w:t>
      </w:r>
      <w:r>
        <w:t xml:space="preserve"> </w:t>
      </w:r>
      <w:r w:rsidRPr="00A1776A">
        <w:t>”In other words, students must be taught how to become</w:t>
      </w:r>
      <w:r w:rsidRPr="00A1776A">
        <w:rPr>
          <w:b/>
          <w:bCs/>
        </w:rPr>
        <w:t xml:space="preserve"> managers</w:t>
      </w:r>
      <w:r w:rsidRPr="00A1776A">
        <w:t xml:space="preserve"> of their own lives, </w:t>
      </w:r>
      <w:r w:rsidRPr="00A1776A">
        <w:rPr>
          <w:b/>
          <w:bCs/>
        </w:rPr>
        <w:t>members</w:t>
      </w:r>
      <w:r w:rsidRPr="00A1776A">
        <w:t xml:space="preserve"> of both local and global society, influential </w:t>
      </w:r>
      <w:r w:rsidRPr="00A1776A">
        <w:rPr>
          <w:b/>
          <w:bCs/>
        </w:rPr>
        <w:t>participants</w:t>
      </w:r>
      <w:r w:rsidRPr="00A1776A">
        <w:t xml:space="preserve"> in the workforce and active </w:t>
      </w:r>
      <w:r w:rsidRPr="00A1776A">
        <w:rPr>
          <w:b/>
          <w:bCs/>
        </w:rPr>
        <w:t>contributors</w:t>
      </w:r>
      <w:r w:rsidRPr="00A1776A">
        <w:t xml:space="preserve"> to a changing environment.</w:t>
      </w:r>
      <w:r w:rsidRPr="00A1776A">
        <w:br/>
      </w:r>
      <w:r w:rsidRPr="00A1776A">
        <w:lastRenderedPageBreak/>
        <w:t>Watch this video to learn more about the difference between the 20</w:t>
      </w:r>
      <w:r w:rsidRPr="00A1776A">
        <w:rPr>
          <w:vertAlign w:val="superscript"/>
        </w:rPr>
        <w:t>th</w:t>
      </w:r>
      <w:r w:rsidRPr="00A1776A">
        <w:t xml:space="preserve"> century education and the 21</w:t>
      </w:r>
      <w:r w:rsidRPr="00A1776A">
        <w:rPr>
          <w:vertAlign w:val="superscript"/>
        </w:rPr>
        <w:t>st</w:t>
      </w:r>
      <w:r w:rsidRPr="00A1776A">
        <w:t xml:space="preserve"> century education.</w:t>
      </w:r>
    </w:p>
    <w:p w:rsidR="00A1776A" w:rsidRPr="00A1776A" w:rsidRDefault="00A1776A" w:rsidP="00A1776A">
      <w:proofErr w:type="gramStart"/>
      <w:r w:rsidRPr="00A1776A">
        <w:t>the</w:t>
      </w:r>
      <w:proofErr w:type="gramEnd"/>
      <w:r w:rsidRPr="00A1776A">
        <w:t xml:space="preserve"> difference between the 20th century education and the 21st century education.</w:t>
      </w:r>
    </w:p>
    <w:p w:rsidR="00A1776A" w:rsidRPr="00A1776A" w:rsidRDefault="00A1776A" w:rsidP="00A1776A">
      <w:r w:rsidRPr="00A1776A">
        <w:t xml:space="preserve">This is exactly the kind of </w:t>
      </w:r>
      <w:r w:rsidRPr="00A1776A">
        <w:rPr>
          <w:b/>
          <w:bCs/>
        </w:rPr>
        <w:t>learning</w:t>
      </w:r>
      <w:r w:rsidRPr="00A1776A">
        <w:t xml:space="preserve"> that the 21</w:t>
      </w:r>
      <w:r w:rsidRPr="00A1776A">
        <w:rPr>
          <w:vertAlign w:val="superscript"/>
        </w:rPr>
        <w:t>st</w:t>
      </w:r>
      <w:r w:rsidRPr="00A1776A">
        <w:t xml:space="preserve"> century </w:t>
      </w:r>
      <w:r w:rsidRPr="00A1776A">
        <w:rPr>
          <w:b/>
          <w:bCs/>
        </w:rPr>
        <w:t xml:space="preserve">pedagogy </w:t>
      </w:r>
      <w:proofErr w:type="gramStart"/>
      <w:r w:rsidRPr="00A1776A">
        <w:t>develops .</w:t>
      </w:r>
      <w:proofErr w:type="gramEnd"/>
      <w:r w:rsidRPr="00A1776A">
        <w:t xml:space="preserve"> It is basically a </w:t>
      </w:r>
      <w:proofErr w:type="spellStart"/>
      <w:r w:rsidRPr="00A1776A">
        <w:t>life long</w:t>
      </w:r>
      <w:proofErr w:type="spellEnd"/>
      <w:r w:rsidRPr="00A1776A">
        <w:t xml:space="preserve"> learning which prepares for </w:t>
      </w:r>
      <w:proofErr w:type="gramStart"/>
      <w:r w:rsidRPr="00A1776A">
        <w:t>future ,</w:t>
      </w:r>
      <w:proofErr w:type="gramEnd"/>
      <w:r w:rsidRPr="00A1776A">
        <w:t xml:space="preserve"> continuous engagement in solving real problems, dealing with real events and competently coping with the dynamics of real life</w:t>
      </w:r>
    </w:p>
    <w:p w:rsidR="00A1776A" w:rsidRPr="00A1776A" w:rsidRDefault="00A1776A" w:rsidP="00A1776A">
      <w:pPr>
        <w:rPr>
          <w:b/>
          <w:bCs/>
        </w:rPr>
      </w:pPr>
      <w:r w:rsidRPr="00A1776A">
        <w:rPr>
          <w:b/>
          <w:bCs/>
        </w:rPr>
        <w:t>What are some of the 21</w:t>
      </w:r>
      <w:r w:rsidRPr="00A1776A">
        <w:rPr>
          <w:b/>
          <w:bCs/>
          <w:vertAlign w:val="superscript"/>
        </w:rPr>
        <w:t>st</w:t>
      </w:r>
      <w:r w:rsidRPr="00A1776A">
        <w:rPr>
          <w:b/>
          <w:bCs/>
        </w:rPr>
        <w:t xml:space="preserve"> century pedagogy features and </w:t>
      </w:r>
      <w:proofErr w:type="gramStart"/>
      <w:r w:rsidRPr="00A1776A">
        <w:rPr>
          <w:b/>
          <w:bCs/>
        </w:rPr>
        <w:t>skills ?</w:t>
      </w:r>
      <w:proofErr w:type="gramEnd"/>
    </w:p>
    <w:p w:rsidR="00A1776A" w:rsidRPr="00A1776A" w:rsidRDefault="00A1776A" w:rsidP="00A1776A">
      <w:r w:rsidRPr="00A1776A">
        <w:t>The skills that are pivotal to achieve</w:t>
      </w:r>
      <w:proofErr w:type="gramStart"/>
      <w:r w:rsidRPr="00A1776A">
        <w:t>  the</w:t>
      </w:r>
      <w:proofErr w:type="gramEnd"/>
      <w:r w:rsidRPr="00A1776A">
        <w:t xml:space="preserve"> 21</w:t>
      </w:r>
      <w:r w:rsidRPr="00A1776A">
        <w:rPr>
          <w:vertAlign w:val="superscript"/>
        </w:rPr>
        <w:t>st</w:t>
      </w:r>
      <w:r w:rsidRPr="00A1776A">
        <w:t xml:space="preserve"> century pedagogy goals are :</w:t>
      </w:r>
    </w:p>
    <w:p w:rsidR="00A1776A" w:rsidRPr="00A1776A" w:rsidRDefault="00A1776A" w:rsidP="00A1776A">
      <w:pPr>
        <w:numPr>
          <w:ilvl w:val="0"/>
          <w:numId w:val="1"/>
        </w:numPr>
      </w:pPr>
      <w:r w:rsidRPr="00A1776A">
        <w:t xml:space="preserve">Critical thinking </w:t>
      </w:r>
    </w:p>
    <w:p w:rsidR="00A1776A" w:rsidRPr="00A1776A" w:rsidRDefault="00A1776A" w:rsidP="00A1776A">
      <w:pPr>
        <w:numPr>
          <w:ilvl w:val="0"/>
          <w:numId w:val="1"/>
        </w:numPr>
      </w:pPr>
      <w:r w:rsidRPr="00A1776A">
        <w:t xml:space="preserve">Active learning </w:t>
      </w:r>
    </w:p>
    <w:p w:rsidR="00A1776A" w:rsidRPr="00A1776A" w:rsidRDefault="00A1776A" w:rsidP="00A1776A">
      <w:pPr>
        <w:numPr>
          <w:ilvl w:val="0"/>
          <w:numId w:val="1"/>
        </w:numPr>
      </w:pPr>
      <w:r w:rsidRPr="00A1776A">
        <w:t xml:space="preserve">Problem solving skills </w:t>
      </w:r>
    </w:p>
    <w:p w:rsidR="00A1776A" w:rsidRPr="00A1776A" w:rsidRDefault="00A1776A" w:rsidP="00A1776A">
      <w:pPr>
        <w:numPr>
          <w:ilvl w:val="0"/>
          <w:numId w:val="1"/>
        </w:numPr>
      </w:pPr>
      <w:r w:rsidRPr="00A1776A">
        <w:t>Communicating, making connections,</w:t>
      </w:r>
      <w:r>
        <w:t xml:space="preserve"> </w:t>
      </w:r>
      <w:r w:rsidRPr="00A1776A">
        <w:t xml:space="preserve">creating and expressing oneself in a variety of ways </w:t>
      </w:r>
    </w:p>
    <w:p w:rsidR="00A1776A" w:rsidRPr="00A1776A" w:rsidRDefault="00A1776A" w:rsidP="00A1776A">
      <w:pPr>
        <w:numPr>
          <w:ilvl w:val="0"/>
          <w:numId w:val="1"/>
        </w:numPr>
      </w:pPr>
      <w:r w:rsidRPr="00A1776A">
        <w:t xml:space="preserve">Contextualized knowledge. As you can see in the learning </w:t>
      </w:r>
      <w:proofErr w:type="gramStart"/>
      <w:r w:rsidRPr="00A1776A">
        <w:t>pyramid ,</w:t>
      </w:r>
      <w:proofErr w:type="gramEnd"/>
      <w:r w:rsidRPr="00A1776A">
        <w:t xml:space="preserve"> un</w:t>
      </w:r>
      <w:r>
        <w:t>-</w:t>
      </w:r>
      <w:r w:rsidRPr="00A1776A">
        <w:t xml:space="preserve">contextualized and non-activity based learning could result in a low retention rate. </w:t>
      </w:r>
    </w:p>
    <w:p w:rsidR="00A1776A" w:rsidRPr="00A1776A" w:rsidRDefault="00A1776A" w:rsidP="00A1776A">
      <w:r w:rsidRPr="00A1776A">
        <w:drawing>
          <wp:inline distT="0" distB="0" distL="0" distR="0">
            <wp:extent cx="2962275" cy="2905125"/>
            <wp:effectExtent l="0" t="0" r="9525" b="9525"/>
            <wp:docPr id="3" name="Picture 3" descr="learning pyrami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pyrami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6A">
        <w:t xml:space="preserve">  </w:t>
      </w:r>
    </w:p>
    <w:p w:rsidR="00A1776A" w:rsidRPr="00A1776A" w:rsidRDefault="00A1776A" w:rsidP="00A1776A">
      <w:pPr>
        <w:numPr>
          <w:ilvl w:val="0"/>
          <w:numId w:val="2"/>
        </w:numPr>
      </w:pPr>
      <w:r w:rsidRPr="00A1776A">
        <w:t xml:space="preserve">Collaborative team work. This mainly achieved through web2.0 technologies and social networking </w:t>
      </w:r>
      <w:proofErr w:type="gramStart"/>
      <w:r w:rsidRPr="00A1776A">
        <w:t>tools .</w:t>
      </w:r>
      <w:proofErr w:type="gramEnd"/>
      <w:r w:rsidRPr="00A1776A">
        <w:t xml:space="preserve"> If you have read the UNESCO’S publication “ </w:t>
      </w:r>
      <w:hyperlink r:id="rId14" w:tgtFrame="_blank" w:history="1">
        <w:r w:rsidRPr="00A1776A">
          <w:rPr>
            <w:rStyle w:val="Hyperlink"/>
          </w:rPr>
          <w:t>The four pillars of education</w:t>
        </w:r>
      </w:hyperlink>
      <w:r w:rsidRPr="00A1776A">
        <w:t xml:space="preserve"> “  you would realize that </w:t>
      </w:r>
      <w:r w:rsidRPr="00A1776A">
        <w:rPr>
          <w:b/>
          <w:bCs/>
        </w:rPr>
        <w:t>collaboration</w:t>
      </w:r>
      <w:r w:rsidRPr="00A1776A">
        <w:t xml:space="preserve"> is the core element of the four pillars which are : </w:t>
      </w:r>
    </w:p>
    <w:p w:rsidR="00A1776A" w:rsidRPr="00A1776A" w:rsidRDefault="00A1776A" w:rsidP="00A1776A">
      <w:pPr>
        <w:numPr>
          <w:ilvl w:val="0"/>
          <w:numId w:val="3"/>
        </w:numPr>
      </w:pPr>
      <w:r w:rsidRPr="00A1776A">
        <w:t xml:space="preserve">Learning to know </w:t>
      </w:r>
    </w:p>
    <w:p w:rsidR="00A1776A" w:rsidRPr="00A1776A" w:rsidRDefault="00A1776A" w:rsidP="00A1776A">
      <w:pPr>
        <w:numPr>
          <w:ilvl w:val="0"/>
          <w:numId w:val="3"/>
        </w:numPr>
      </w:pPr>
      <w:proofErr w:type="spellStart"/>
      <w:r w:rsidRPr="00A1776A">
        <w:lastRenderedPageBreak/>
        <w:t>Lerning</w:t>
      </w:r>
      <w:proofErr w:type="spellEnd"/>
      <w:r w:rsidRPr="00A1776A">
        <w:t xml:space="preserve"> to do </w:t>
      </w:r>
    </w:p>
    <w:p w:rsidR="00A1776A" w:rsidRPr="00A1776A" w:rsidRDefault="00A1776A" w:rsidP="00A1776A">
      <w:pPr>
        <w:numPr>
          <w:ilvl w:val="0"/>
          <w:numId w:val="3"/>
        </w:numPr>
      </w:pPr>
      <w:r w:rsidRPr="00A1776A">
        <w:t xml:space="preserve">Learning to live together </w:t>
      </w:r>
    </w:p>
    <w:p w:rsidR="00A1776A" w:rsidRPr="00A1776A" w:rsidRDefault="00A1776A" w:rsidP="00A1776A">
      <w:pPr>
        <w:numPr>
          <w:ilvl w:val="0"/>
          <w:numId w:val="3"/>
        </w:numPr>
      </w:pPr>
      <w:r w:rsidRPr="00A1776A">
        <w:t xml:space="preserve">Learning to be </w:t>
      </w:r>
    </w:p>
    <w:p w:rsidR="00A1776A" w:rsidRPr="00A1776A" w:rsidRDefault="00A1776A" w:rsidP="00A1776A">
      <w:r w:rsidRPr="00A1776A">
        <w:drawing>
          <wp:inline distT="0" distB="0" distL="0" distR="0">
            <wp:extent cx="5981700" cy="2600325"/>
            <wp:effectExtent l="0" t="0" r="0" b="9525"/>
            <wp:docPr id="2" name="Picture 2" descr="four pillars of learn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pillars of learn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6A" w:rsidRPr="00A1776A" w:rsidRDefault="00A1776A" w:rsidP="00A1776A">
      <w:pPr>
        <w:rPr>
          <w:b/>
          <w:bCs/>
        </w:rPr>
      </w:pPr>
      <w:r w:rsidRPr="00A1776A">
        <w:rPr>
          <w:b/>
          <w:bCs/>
        </w:rPr>
        <w:t>21</w:t>
      </w:r>
      <w:r w:rsidRPr="00A1776A">
        <w:rPr>
          <w:b/>
          <w:bCs/>
          <w:vertAlign w:val="superscript"/>
        </w:rPr>
        <w:t>st</w:t>
      </w:r>
      <w:r w:rsidRPr="00A1776A">
        <w:rPr>
          <w:b/>
          <w:bCs/>
        </w:rPr>
        <w:t xml:space="preserve"> century pedagogy develops some particular kinds of fluencies in </w:t>
      </w:r>
      <w:proofErr w:type="gramStart"/>
      <w:r w:rsidRPr="00A1776A">
        <w:rPr>
          <w:b/>
          <w:bCs/>
        </w:rPr>
        <w:t>students :</w:t>
      </w:r>
      <w:proofErr w:type="gramEnd"/>
    </w:p>
    <w:p w:rsidR="00A1776A" w:rsidRPr="00A1776A" w:rsidRDefault="00A1776A" w:rsidP="00A1776A">
      <w:pPr>
        <w:numPr>
          <w:ilvl w:val="0"/>
          <w:numId w:val="4"/>
        </w:numPr>
      </w:pPr>
      <w:r w:rsidRPr="00A1776A">
        <w:t xml:space="preserve">Technology fluency : know how to use technological tools </w:t>
      </w:r>
    </w:p>
    <w:p w:rsidR="00A1776A" w:rsidRPr="00A1776A" w:rsidRDefault="00A1776A" w:rsidP="00A1776A">
      <w:pPr>
        <w:numPr>
          <w:ilvl w:val="0"/>
          <w:numId w:val="4"/>
        </w:numPr>
      </w:pPr>
      <w:r w:rsidRPr="00A1776A">
        <w:t xml:space="preserve">Information fluency : know how to gather, process and validate information </w:t>
      </w:r>
    </w:p>
    <w:p w:rsidR="00A1776A" w:rsidRPr="00A1776A" w:rsidRDefault="00A1776A" w:rsidP="00A1776A">
      <w:pPr>
        <w:numPr>
          <w:ilvl w:val="0"/>
          <w:numId w:val="4"/>
        </w:numPr>
      </w:pPr>
      <w:r w:rsidRPr="00A1776A">
        <w:t xml:space="preserve">Media </w:t>
      </w:r>
      <w:proofErr w:type="gramStart"/>
      <w:r w:rsidRPr="00A1776A">
        <w:t>fluency :</w:t>
      </w:r>
      <w:proofErr w:type="gramEnd"/>
      <w:r w:rsidRPr="00A1776A">
        <w:t xml:space="preserve"> know how to view , select , and use media. </w:t>
      </w:r>
    </w:p>
    <w:p w:rsidR="00A1776A" w:rsidRPr="00A1776A" w:rsidRDefault="00A1776A" w:rsidP="00A1776A">
      <w:r w:rsidRPr="00A1776A">
        <w:t xml:space="preserve">To </w:t>
      </w:r>
      <w:proofErr w:type="gramStart"/>
      <w:r w:rsidRPr="00A1776A">
        <w:t>conclude ,</w:t>
      </w:r>
      <w:proofErr w:type="gramEnd"/>
      <w:r w:rsidRPr="00A1776A">
        <w:t xml:space="preserve"> here is a diagram provided by </w:t>
      </w:r>
      <w:hyperlink r:id="rId17" w:tgtFrame="_blank" w:history="1">
        <w:r w:rsidRPr="00A1776A">
          <w:rPr>
            <w:rStyle w:val="Hyperlink"/>
          </w:rPr>
          <w:t>Andrew Churches</w:t>
        </w:r>
      </w:hyperlink>
      <w:r w:rsidRPr="00A1776A">
        <w:t>  that summarizes most of what we have talked about concerning the 21</w:t>
      </w:r>
      <w:r w:rsidRPr="00A1776A">
        <w:rPr>
          <w:vertAlign w:val="superscript"/>
        </w:rPr>
        <w:t>st</w:t>
      </w:r>
      <w:r w:rsidRPr="00A1776A">
        <w:t xml:space="preserve"> century pedagogy features :</w:t>
      </w:r>
      <w:r w:rsidRPr="00A1776A">
        <w:br/>
      </w:r>
      <w:r w:rsidRPr="00A1776A">
        <w:lastRenderedPageBreak/>
        <w:drawing>
          <wp:inline distT="0" distB="0" distL="0" distR="0">
            <wp:extent cx="5857875" cy="4095750"/>
            <wp:effectExtent l="0" t="0" r="9525" b="0"/>
            <wp:docPr id="1" name="Picture 1" descr="21st century learning diagra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st century learning diagra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76A">
        <w:br/>
      </w:r>
      <w:r w:rsidRPr="00A1776A">
        <w:br/>
        <w:t>Watch this conclusive video to clear all your doubts about the 21st century pedagogy</w:t>
      </w:r>
    </w:p>
    <w:p w:rsidR="00A1776A" w:rsidRPr="00A1776A" w:rsidRDefault="00A1776A" w:rsidP="00A1776A">
      <w:r w:rsidRPr="00A1776A">
        <w:t>21st pedagogy</w:t>
      </w:r>
    </w:p>
    <w:p w:rsidR="00A81CB8" w:rsidRDefault="00A1776A" w:rsidP="00A1776A">
      <w:r w:rsidRPr="00A1776A">
        <w:t xml:space="preserve">That’s it about </w:t>
      </w:r>
      <w:proofErr w:type="gramStart"/>
      <w:r w:rsidRPr="00A1776A">
        <w:t>The</w:t>
      </w:r>
      <w:proofErr w:type="gramEnd"/>
      <w:r w:rsidRPr="00A1776A">
        <w:t xml:space="preserve"> 21st century pedagogy teachers should be aware of.</w:t>
      </w:r>
    </w:p>
    <w:sectPr w:rsidR="00A8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AE8"/>
    <w:multiLevelType w:val="multilevel"/>
    <w:tmpl w:val="64A4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F45DC"/>
    <w:multiLevelType w:val="multilevel"/>
    <w:tmpl w:val="A77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D737A"/>
    <w:multiLevelType w:val="multilevel"/>
    <w:tmpl w:val="BE9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56683"/>
    <w:multiLevelType w:val="multilevel"/>
    <w:tmpl w:val="F2F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A"/>
    <w:rsid w:val="00016E0F"/>
    <w:rsid w:val="00017906"/>
    <w:rsid w:val="00023023"/>
    <w:rsid w:val="00026AFF"/>
    <w:rsid w:val="000507A0"/>
    <w:rsid w:val="00052664"/>
    <w:rsid w:val="00083EB2"/>
    <w:rsid w:val="00091560"/>
    <w:rsid w:val="000A4B94"/>
    <w:rsid w:val="000A5557"/>
    <w:rsid w:val="000B09B5"/>
    <w:rsid w:val="000B1E09"/>
    <w:rsid w:val="000C7E0B"/>
    <w:rsid w:val="000C7E9F"/>
    <w:rsid w:val="000F39A2"/>
    <w:rsid w:val="00103841"/>
    <w:rsid w:val="00115ECD"/>
    <w:rsid w:val="00127C35"/>
    <w:rsid w:val="00150C60"/>
    <w:rsid w:val="001A062D"/>
    <w:rsid w:val="001B26BE"/>
    <w:rsid w:val="001B411F"/>
    <w:rsid w:val="001C3EB4"/>
    <w:rsid w:val="001C4233"/>
    <w:rsid w:val="001D0C01"/>
    <w:rsid w:val="001D2238"/>
    <w:rsid w:val="001E31A8"/>
    <w:rsid w:val="001F2C0B"/>
    <w:rsid w:val="00202F2C"/>
    <w:rsid w:val="002217EB"/>
    <w:rsid w:val="0022602C"/>
    <w:rsid w:val="002371F1"/>
    <w:rsid w:val="002466FB"/>
    <w:rsid w:val="002479C1"/>
    <w:rsid w:val="00264520"/>
    <w:rsid w:val="00265B50"/>
    <w:rsid w:val="00294CF1"/>
    <w:rsid w:val="002B067F"/>
    <w:rsid w:val="002D6C4E"/>
    <w:rsid w:val="002E00FA"/>
    <w:rsid w:val="00326A58"/>
    <w:rsid w:val="003314C7"/>
    <w:rsid w:val="00337FF7"/>
    <w:rsid w:val="0034492F"/>
    <w:rsid w:val="003843CE"/>
    <w:rsid w:val="00384A92"/>
    <w:rsid w:val="00385D2D"/>
    <w:rsid w:val="003A3988"/>
    <w:rsid w:val="003B04EB"/>
    <w:rsid w:val="003D1760"/>
    <w:rsid w:val="003D3865"/>
    <w:rsid w:val="003F2788"/>
    <w:rsid w:val="00401B4A"/>
    <w:rsid w:val="0041118E"/>
    <w:rsid w:val="004221B6"/>
    <w:rsid w:val="0044343E"/>
    <w:rsid w:val="004509C6"/>
    <w:rsid w:val="00451E62"/>
    <w:rsid w:val="00454483"/>
    <w:rsid w:val="00457127"/>
    <w:rsid w:val="004A2F10"/>
    <w:rsid w:val="004A3AC3"/>
    <w:rsid w:val="004B2527"/>
    <w:rsid w:val="004C00DD"/>
    <w:rsid w:val="004F37BA"/>
    <w:rsid w:val="004F7F57"/>
    <w:rsid w:val="00533D4D"/>
    <w:rsid w:val="00544AF7"/>
    <w:rsid w:val="00545C9D"/>
    <w:rsid w:val="005509B1"/>
    <w:rsid w:val="005661C5"/>
    <w:rsid w:val="00572429"/>
    <w:rsid w:val="005A6BE5"/>
    <w:rsid w:val="005F7DD1"/>
    <w:rsid w:val="00636325"/>
    <w:rsid w:val="006522CD"/>
    <w:rsid w:val="0066052F"/>
    <w:rsid w:val="006610F0"/>
    <w:rsid w:val="00667594"/>
    <w:rsid w:val="00684C14"/>
    <w:rsid w:val="006A12F2"/>
    <w:rsid w:val="006A7845"/>
    <w:rsid w:val="006D2EFE"/>
    <w:rsid w:val="006E5031"/>
    <w:rsid w:val="006F51DD"/>
    <w:rsid w:val="006F69F6"/>
    <w:rsid w:val="007211AB"/>
    <w:rsid w:val="00726F61"/>
    <w:rsid w:val="00733B44"/>
    <w:rsid w:val="00743BBE"/>
    <w:rsid w:val="00756A53"/>
    <w:rsid w:val="00773CE3"/>
    <w:rsid w:val="00781532"/>
    <w:rsid w:val="007A73F2"/>
    <w:rsid w:val="007B1739"/>
    <w:rsid w:val="007C436F"/>
    <w:rsid w:val="007F2D78"/>
    <w:rsid w:val="00804549"/>
    <w:rsid w:val="00810D2A"/>
    <w:rsid w:val="00847612"/>
    <w:rsid w:val="00866AB6"/>
    <w:rsid w:val="0087006C"/>
    <w:rsid w:val="008708FC"/>
    <w:rsid w:val="00870E8E"/>
    <w:rsid w:val="00893B4D"/>
    <w:rsid w:val="008A211E"/>
    <w:rsid w:val="008B0BFB"/>
    <w:rsid w:val="008D19B9"/>
    <w:rsid w:val="00900E38"/>
    <w:rsid w:val="009152AB"/>
    <w:rsid w:val="00925E33"/>
    <w:rsid w:val="00930F0B"/>
    <w:rsid w:val="00941C8B"/>
    <w:rsid w:val="00983BE1"/>
    <w:rsid w:val="009847C5"/>
    <w:rsid w:val="009903DD"/>
    <w:rsid w:val="009A0BB7"/>
    <w:rsid w:val="009C27BD"/>
    <w:rsid w:val="00A16A26"/>
    <w:rsid w:val="00A1776A"/>
    <w:rsid w:val="00A208FE"/>
    <w:rsid w:val="00A36256"/>
    <w:rsid w:val="00A40095"/>
    <w:rsid w:val="00A54465"/>
    <w:rsid w:val="00A577A5"/>
    <w:rsid w:val="00A62D44"/>
    <w:rsid w:val="00A645D6"/>
    <w:rsid w:val="00A65980"/>
    <w:rsid w:val="00A72243"/>
    <w:rsid w:val="00A81CB8"/>
    <w:rsid w:val="00A85F04"/>
    <w:rsid w:val="00AA7D92"/>
    <w:rsid w:val="00AD30BD"/>
    <w:rsid w:val="00AE29E7"/>
    <w:rsid w:val="00AF6040"/>
    <w:rsid w:val="00BB2E16"/>
    <w:rsid w:val="00BB659E"/>
    <w:rsid w:val="00BF4051"/>
    <w:rsid w:val="00BF4851"/>
    <w:rsid w:val="00C046DF"/>
    <w:rsid w:val="00C31F87"/>
    <w:rsid w:val="00C35056"/>
    <w:rsid w:val="00C44909"/>
    <w:rsid w:val="00C85E99"/>
    <w:rsid w:val="00CD06F8"/>
    <w:rsid w:val="00CE6F38"/>
    <w:rsid w:val="00D06108"/>
    <w:rsid w:val="00D13C02"/>
    <w:rsid w:val="00D13EEE"/>
    <w:rsid w:val="00D21041"/>
    <w:rsid w:val="00D23306"/>
    <w:rsid w:val="00D43429"/>
    <w:rsid w:val="00D53D55"/>
    <w:rsid w:val="00D7325E"/>
    <w:rsid w:val="00DB19A1"/>
    <w:rsid w:val="00DB6A20"/>
    <w:rsid w:val="00DE06AA"/>
    <w:rsid w:val="00DF0490"/>
    <w:rsid w:val="00DF4616"/>
    <w:rsid w:val="00DF5159"/>
    <w:rsid w:val="00E1384C"/>
    <w:rsid w:val="00E1620A"/>
    <w:rsid w:val="00E30E18"/>
    <w:rsid w:val="00E5397B"/>
    <w:rsid w:val="00E62437"/>
    <w:rsid w:val="00E646EA"/>
    <w:rsid w:val="00E729FD"/>
    <w:rsid w:val="00E80511"/>
    <w:rsid w:val="00E9505E"/>
    <w:rsid w:val="00F02276"/>
    <w:rsid w:val="00F0557B"/>
    <w:rsid w:val="00F05B65"/>
    <w:rsid w:val="00F34613"/>
    <w:rsid w:val="00F46A3A"/>
    <w:rsid w:val="00F62647"/>
    <w:rsid w:val="00F7057C"/>
    <w:rsid w:val="00F8124A"/>
    <w:rsid w:val="00FB3184"/>
    <w:rsid w:val="00FB4841"/>
    <w:rsid w:val="00FD2A12"/>
    <w:rsid w:val="00FD7F4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7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altech-med.blogspot.com/2011/01/21st-century-pedagogy-teachers-should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i53.tinypic.com/2iswgnm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ducationaltech-med.blogspot.com/search/label/educational%20technology" TargetMode="External"/><Relationship Id="rId12" Type="http://schemas.openxmlformats.org/officeDocument/2006/relationships/hyperlink" Target="http://i52.tinypic.com/2wpih38.jpg" TargetMode="External"/><Relationship Id="rId17" Type="http://schemas.openxmlformats.org/officeDocument/2006/relationships/hyperlink" Target="http://edorigami.wikispaces.com/About+M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ationaltech-med.blogspot.com/search/label/21st%20century%20teaching%20skills" TargetMode="External"/><Relationship Id="rId11" Type="http://schemas.openxmlformats.org/officeDocument/2006/relationships/hyperlink" Target="http://educationaltech-med.blogspot.com/2011/01/21st-century-skills-teachers-shoul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54.tinypic.com/2r6o5yc.jp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56.tinypic.com/35k3229.jpg" TargetMode="External"/><Relationship Id="rId14" Type="http://schemas.openxmlformats.org/officeDocument/2006/relationships/hyperlink" Target="http://www.unesco.org/delors/fourp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Professorredbag</dc:creator>
  <cp:lastModifiedBy>Professorredbag</cp:lastModifiedBy>
  <cp:revision>1</cp:revision>
  <dcterms:created xsi:type="dcterms:W3CDTF">2012-02-09T08:44:00Z</dcterms:created>
  <dcterms:modified xsi:type="dcterms:W3CDTF">2012-02-09T08:46:00Z</dcterms:modified>
</cp:coreProperties>
</file>